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E1753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1753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1753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E1753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1753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E1753C" w:rsidRDefault="005C31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caps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C3115" w:rsidRPr="00E1753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C3115" w:rsidRPr="00AC5D84">
              <w:rPr>
                <w:rFonts w:asciiTheme="minorHAnsi" w:hAnsiTheme="minorHAnsi"/>
                <w:b/>
                <w:sz w:val="24"/>
                <w:szCs w:val="24"/>
              </w:rPr>
              <w:t>M23</w:t>
            </w:r>
          </w:p>
        </w:tc>
      </w:tr>
      <w:tr w:rsidR="002E1B9A" w:rsidRPr="00E1753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1753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5C3115" w:rsidRPr="00E1753C" w:rsidRDefault="002E1B9A" w:rsidP="005C3115">
            <w:pPr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5C3115" w:rsidRPr="00E1753C">
              <w:rPr>
                <w:rFonts w:asciiTheme="minorHAnsi" w:eastAsia="Calibri" w:hAnsiTheme="minorHAnsi"/>
                <w:b/>
                <w:sz w:val="24"/>
                <w:szCs w:val="24"/>
              </w:rPr>
              <w:t>Przedmiot humanistyczny do wyboru I:</w:t>
            </w:r>
          </w:p>
          <w:p w:rsidR="002E1B9A" w:rsidRPr="00E1753C" w:rsidRDefault="005C3115" w:rsidP="005C311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b/>
                <w:sz w:val="24"/>
                <w:szCs w:val="24"/>
              </w:rPr>
              <w:t>Formy perswazji w kulturze współczesnej</w:t>
            </w: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5C3115" w:rsidRPr="00E1753C">
              <w:rPr>
                <w:rFonts w:asciiTheme="minorHAnsi" w:hAnsiTheme="minorHAnsi"/>
                <w:sz w:val="24"/>
                <w:szCs w:val="24"/>
              </w:rPr>
              <w:t xml:space="preserve"> M23-1</w:t>
            </w:r>
          </w:p>
        </w:tc>
      </w:tr>
      <w:tr w:rsidR="002E1B9A" w:rsidRPr="00E1753C" w:rsidTr="00AA4E25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1753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E1753C" w:rsidTr="00C9183B">
        <w:trPr>
          <w:cantSplit/>
        </w:trPr>
        <w:tc>
          <w:tcPr>
            <w:tcW w:w="497" w:type="dxa"/>
            <w:vMerge/>
          </w:tcPr>
          <w:p w:rsidR="005E493F" w:rsidRPr="00E1753C" w:rsidRDefault="005E493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E1753C" w:rsidRDefault="005E493F" w:rsidP="00BE0044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</w:tc>
      </w:tr>
      <w:tr w:rsidR="002E1B9A" w:rsidRPr="00E1753C" w:rsidTr="00AA4E25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E1753C" w:rsidRDefault="00BE0044" w:rsidP="00E1753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E1753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E1753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1753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E1753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1753C" w:rsidTr="00AA4E25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1753C" w:rsidRDefault="005C31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1753C" w:rsidRDefault="005C311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1753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1753C" w:rsidTr="00C9183B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1753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1753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1753C" w:rsidTr="00C9183B">
        <w:trPr>
          <w:cantSplit/>
        </w:trPr>
        <w:tc>
          <w:tcPr>
            <w:tcW w:w="497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E1753C" w:rsidRDefault="00E1753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E1B9A" w:rsidRPr="00E1753C" w:rsidTr="005C311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E1753C" w:rsidRDefault="00E1753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dr hab. Mariusz Kraska, prof. PWSZ</w:t>
            </w:r>
          </w:p>
        </w:tc>
      </w:tr>
      <w:tr w:rsidR="00E1753C" w:rsidRPr="00E1753C" w:rsidTr="005C3115">
        <w:trPr>
          <w:trHeight w:val="640"/>
        </w:trPr>
        <w:tc>
          <w:tcPr>
            <w:tcW w:w="2988" w:type="dxa"/>
            <w:vAlign w:val="center"/>
          </w:tcPr>
          <w:p w:rsidR="00E1753C" w:rsidRPr="00E1753C" w:rsidRDefault="00E1753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1753C" w:rsidRPr="00E1753C" w:rsidRDefault="00E1753C" w:rsidP="00A4311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dr hab. Mariusz Kraska, prof. PWSZ</w:t>
            </w:r>
          </w:p>
        </w:tc>
      </w:tr>
      <w:tr w:rsidR="005C3115" w:rsidRPr="00E1753C" w:rsidTr="005C3115">
        <w:tc>
          <w:tcPr>
            <w:tcW w:w="2988" w:type="dxa"/>
            <w:vAlign w:val="center"/>
          </w:tcPr>
          <w:p w:rsidR="005C3115" w:rsidRPr="00E1753C" w:rsidRDefault="005C311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C3115" w:rsidRPr="00E1753C" w:rsidRDefault="005C3115" w:rsidP="00A43110">
            <w:pPr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Zapoznanie studentów z podstawowymi zagadnieniami retoryki </w:t>
            </w:r>
            <w:r w:rsidR="00C460D6">
              <w:rPr>
                <w:rFonts w:asciiTheme="minorHAnsi" w:eastAsia="Calibri" w:hAnsiTheme="minorHAnsi"/>
                <w:sz w:val="24"/>
                <w:szCs w:val="24"/>
              </w:rPr>
              <w:t xml:space="preserve">i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retoryczności, w szczególności wyjaśnienie pojęć perswazji, manipulacji i argumentacji oraz charakterystyka ich odmian. Praktyczne przedstawienie mechanizmów oddziaływania na odbiorców we współczesnej kulturze i życiu publicznym</w:t>
            </w:r>
            <w:r w:rsidR="00C460D6">
              <w:rPr>
                <w:rFonts w:asciiTheme="minorHAnsi" w:eastAsia="Calibri" w:hAnsiTheme="minorHAnsi"/>
                <w:sz w:val="24"/>
                <w:szCs w:val="24"/>
              </w:rPr>
              <w:t>.</w:t>
            </w:r>
          </w:p>
        </w:tc>
      </w:tr>
      <w:tr w:rsidR="005C3115" w:rsidRPr="00E1753C" w:rsidTr="005C311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C3115" w:rsidRPr="00E1753C" w:rsidRDefault="005C311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C3115" w:rsidRPr="00E1753C" w:rsidRDefault="005C311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E1753C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1753C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1753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1753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E1753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5C311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</w:tr>
      <w:tr w:rsidR="005C3115" w:rsidRPr="00E1753C" w:rsidTr="00407FA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5C3115" w:rsidP="00407FA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407FA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BC1A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15" w:rsidRPr="00E1753C" w:rsidRDefault="005C3115" w:rsidP="00A4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eastAsia="Calibri" w:hAnsiTheme="minorHAnsi" w:cs="Courier New"/>
                <w:sz w:val="24"/>
                <w:szCs w:val="24"/>
              </w:rPr>
            </w:pPr>
            <w:r w:rsidRPr="00E1753C">
              <w:rPr>
                <w:rFonts w:asciiTheme="minorHAnsi" w:eastAsia="Calibri" w:hAnsiTheme="minorHAnsi" w:cs="Courier New"/>
                <w:sz w:val="24"/>
                <w:szCs w:val="24"/>
              </w:rPr>
              <w:t xml:space="preserve">Student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w oparciu o uzyskaną wiedzę teoretyczną potrafi rozpoznać mechanizmy </w:t>
            </w:r>
            <w:r w:rsidR="006614B9">
              <w:rPr>
                <w:rFonts w:asciiTheme="minorHAnsi" w:eastAsia="Calibri" w:hAnsiTheme="minorHAnsi"/>
                <w:sz w:val="24"/>
                <w:szCs w:val="24"/>
              </w:rPr>
              <w:t>argumentacyjno-perswazyjne.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K_U01</w:t>
            </w: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BC1A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15" w:rsidRPr="00E1753C" w:rsidRDefault="005C3115" w:rsidP="00A4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eastAsia="Calibri" w:hAnsiTheme="minorHAnsi" w:cs="Courier New"/>
                <w:sz w:val="24"/>
                <w:szCs w:val="24"/>
              </w:rPr>
            </w:pPr>
            <w:r w:rsidRPr="00E1753C">
              <w:rPr>
                <w:rFonts w:asciiTheme="minorHAnsi" w:eastAsia="Calibri" w:hAnsiTheme="minorHAnsi" w:cs="Courier New"/>
                <w:sz w:val="24"/>
                <w:szCs w:val="24"/>
              </w:rPr>
              <w:t>Student rozpoznając związki między technologią i metodami społecznego wpływu, dostrzega ich aspekty pozatechniczne</w:t>
            </w:r>
            <w:r w:rsidR="006614B9">
              <w:rPr>
                <w:rFonts w:asciiTheme="minorHAnsi" w:eastAsia="Calibri" w:hAnsiTheme="minorHAnsi" w:cs="Courier Ne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K_U09</w:t>
            </w: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BC1A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Student potrafi ocenić skuteczność i etyczny aspekt poszczególnych metod wpływania na odbiorcę</w:t>
            </w:r>
            <w:r w:rsidR="006614B9">
              <w:rPr>
                <w:rFonts w:asciiTheme="minorHAnsi" w:eastAsia="Calibri" w:hAnsiTheme="minorHAnsi"/>
                <w:sz w:val="24"/>
                <w:szCs w:val="24"/>
              </w:rPr>
              <w:t>.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K_U01</w:t>
            </w:r>
          </w:p>
        </w:tc>
      </w:tr>
      <w:tr w:rsidR="00BC1ACB" w:rsidRPr="00E1753C" w:rsidTr="002643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CB" w:rsidRPr="00E1753C" w:rsidRDefault="00BC1ACB" w:rsidP="0026432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CB" w:rsidRPr="00E1753C" w:rsidRDefault="00BC1ACB" w:rsidP="00264328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Student posiada umiejętność rzeczowego wyjaśnienia i uzasadnienia formułowanych przez siebie wniosków w oparciu o przyswojoną wiedzę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CB" w:rsidRPr="00E1753C" w:rsidRDefault="00BC1ACB" w:rsidP="00264328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K_K04</w:t>
            </w:r>
          </w:p>
        </w:tc>
      </w:tr>
      <w:tr w:rsidR="002E1B9A" w:rsidRPr="00E1753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1753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E1753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E175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3115" w:rsidRPr="00E1753C" w:rsidRDefault="005C311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3115" w:rsidRPr="00E1753C" w:rsidRDefault="005C3115" w:rsidP="00A4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Theme="minorHAnsi" w:eastAsia="Calibri" w:hAnsiTheme="minorHAnsi" w:cs="Courier New"/>
                <w:sz w:val="24"/>
                <w:szCs w:val="24"/>
              </w:rPr>
            </w:pPr>
            <w:r w:rsidRPr="00E1753C">
              <w:rPr>
                <w:rFonts w:asciiTheme="minorHAnsi" w:eastAsia="Calibri" w:hAnsiTheme="minorHAnsi" w:cs="Courier New"/>
                <w:sz w:val="24"/>
                <w:szCs w:val="24"/>
              </w:rPr>
              <w:t>Student dostrzega pozatechniczne aspekty i skutki działalności informatyka, w tym skutki społeczne, oraz związaną z tym odpowiedzialność za podejmowane decyzje</w:t>
            </w:r>
            <w:r w:rsidR="006614B9">
              <w:rPr>
                <w:rFonts w:asciiTheme="minorHAnsi" w:eastAsia="Calibri" w:hAnsiTheme="minorHAnsi" w:cs="Courier New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K_K02</w:t>
            </w: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E1753C" w:rsidTr="005C3115">
        <w:tc>
          <w:tcPr>
            <w:tcW w:w="10008" w:type="dxa"/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1753C" w:rsidTr="005C3115">
        <w:tc>
          <w:tcPr>
            <w:tcW w:w="10008" w:type="dxa"/>
            <w:shd w:val="pct15" w:color="auto" w:fill="FFFFFF"/>
          </w:tcPr>
          <w:p w:rsidR="002E1B9A" w:rsidRPr="00E1753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5C3115" w:rsidRPr="00E1753C" w:rsidTr="00E1254E">
        <w:trPr>
          <w:trHeight w:val="343"/>
        </w:trPr>
        <w:tc>
          <w:tcPr>
            <w:tcW w:w="10008" w:type="dxa"/>
          </w:tcPr>
          <w:p w:rsidR="005C3115" w:rsidRPr="00E1753C" w:rsidRDefault="005C3115" w:rsidP="00B87F3B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</w:tr>
      <w:tr w:rsidR="005C3115" w:rsidRPr="00E1753C" w:rsidTr="005C3115">
        <w:tc>
          <w:tcPr>
            <w:tcW w:w="10008" w:type="dxa"/>
            <w:shd w:val="pct15" w:color="auto" w:fill="FFFFFF"/>
          </w:tcPr>
          <w:p w:rsidR="005C3115" w:rsidRPr="00E1753C" w:rsidRDefault="005C311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5C3115" w:rsidRPr="00E1753C" w:rsidTr="005C3115">
        <w:tc>
          <w:tcPr>
            <w:tcW w:w="10008" w:type="dxa"/>
          </w:tcPr>
          <w:p w:rsidR="006D55FF" w:rsidRDefault="00E1254E" w:rsidP="004A5B54">
            <w:pPr>
              <w:spacing w:line="276" w:lineRule="auto"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Poszczególne </w:t>
            </w:r>
            <w:r w:rsidR="000C4775">
              <w:rPr>
                <w:rFonts w:asciiTheme="minorHAnsi" w:eastAsia="Calibri" w:hAnsiTheme="minorHAnsi"/>
                <w:sz w:val="24"/>
                <w:szCs w:val="24"/>
              </w:rPr>
              <w:t>ćwiczenia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będą miały cha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>rakter wprowadzający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</w:t>
            </w:r>
            <w:r w:rsidR="00081198">
              <w:rPr>
                <w:rFonts w:asciiTheme="minorHAnsi" w:eastAsia="Calibri" w:hAnsiTheme="minorHAnsi"/>
                <w:sz w:val="24"/>
                <w:szCs w:val="24"/>
              </w:rPr>
              <w:t>w podstawowe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zagadnie</w:t>
            </w:r>
            <w:r w:rsidR="00081198">
              <w:rPr>
                <w:rFonts w:asciiTheme="minorHAnsi" w:eastAsia="Calibri" w:hAnsiTheme="minorHAnsi"/>
                <w:sz w:val="24"/>
                <w:szCs w:val="24"/>
              </w:rPr>
              <w:t>nia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związan</w:t>
            </w:r>
            <w:r w:rsidR="00081198">
              <w:rPr>
                <w:rFonts w:asciiTheme="minorHAnsi" w:eastAsia="Calibri" w:hAnsiTheme="minorHAnsi"/>
                <w:sz w:val="24"/>
                <w:szCs w:val="24"/>
              </w:rPr>
              <w:t xml:space="preserve">e </w:t>
            </w:r>
            <w:r w:rsidR="00AB5AED">
              <w:rPr>
                <w:rFonts w:asciiTheme="minorHAnsi" w:eastAsia="Calibri" w:hAnsiTheme="minorHAnsi"/>
                <w:sz w:val="24"/>
                <w:szCs w:val="24"/>
              </w:rPr>
              <w:t xml:space="preserve">z retoryką i retorycznością, w tym ujęcie 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retoryki jako dziedziny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wiedzy z zakresu komunikacji</w:t>
            </w:r>
            <w:r>
              <w:rPr>
                <w:rFonts w:asciiTheme="minorHAnsi" w:eastAsia="Calibri" w:hAnsiTheme="minorHAnsi"/>
                <w:sz w:val="24"/>
                <w:szCs w:val="24"/>
              </w:rPr>
              <w:t xml:space="preserve">. </w:t>
            </w:r>
            <w:r w:rsidR="00B2680F"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Poszczególne </w:t>
            </w:r>
            <w:r w:rsidR="001A3BC3">
              <w:rPr>
                <w:rFonts w:asciiTheme="minorHAnsi" w:eastAsia="Calibri" w:hAnsiTheme="minorHAnsi"/>
                <w:sz w:val="24"/>
                <w:szCs w:val="24"/>
              </w:rPr>
              <w:t xml:space="preserve">ćwiczenia </w:t>
            </w:r>
            <w:r w:rsidR="00B2680F"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będą poświęcone </w:t>
            </w:r>
            <w:r w:rsidR="0084223B">
              <w:rPr>
                <w:rFonts w:asciiTheme="minorHAnsi" w:eastAsia="Calibri" w:hAnsiTheme="minorHAnsi"/>
                <w:sz w:val="24"/>
                <w:szCs w:val="24"/>
              </w:rPr>
              <w:t>p</w:t>
            </w:r>
            <w:r w:rsidR="00B2680F" w:rsidRPr="00E1753C">
              <w:rPr>
                <w:rFonts w:asciiTheme="minorHAnsi" w:eastAsia="Calibri" w:hAnsiTheme="minorHAnsi"/>
                <w:sz w:val="24"/>
                <w:szCs w:val="24"/>
              </w:rPr>
              <w:t>roble</w:t>
            </w:r>
            <w:r w:rsidR="006D55FF">
              <w:rPr>
                <w:rFonts w:asciiTheme="minorHAnsi" w:eastAsia="Calibri" w:hAnsiTheme="minorHAnsi"/>
                <w:sz w:val="24"/>
                <w:szCs w:val="24"/>
              </w:rPr>
              <w:t>matyce</w:t>
            </w:r>
            <w:r w:rsidR="0084223B">
              <w:rPr>
                <w:rFonts w:asciiTheme="minorHAnsi" w:eastAsia="Calibri" w:hAnsiTheme="minorHAnsi"/>
                <w:sz w:val="24"/>
                <w:szCs w:val="24"/>
              </w:rPr>
              <w:t xml:space="preserve"> perswazji i argumentacji oraz </w:t>
            </w:r>
            <w:r w:rsidR="006D55FF">
              <w:rPr>
                <w:rFonts w:asciiTheme="minorHAnsi" w:eastAsia="Calibri" w:hAnsiTheme="minorHAnsi"/>
                <w:sz w:val="24"/>
                <w:szCs w:val="24"/>
              </w:rPr>
              <w:t>omówieniu</w:t>
            </w:r>
            <w:r w:rsidR="0084223B">
              <w:rPr>
                <w:rFonts w:asciiTheme="minorHAnsi" w:eastAsia="Calibri" w:hAnsiTheme="minorHAnsi"/>
                <w:sz w:val="24"/>
                <w:szCs w:val="24"/>
              </w:rPr>
              <w:t xml:space="preserve"> i </w:t>
            </w:r>
            <w:r w:rsidR="00B2680F" w:rsidRPr="00E1753C">
              <w:rPr>
                <w:rFonts w:asciiTheme="minorHAnsi" w:eastAsia="Calibri" w:hAnsiTheme="minorHAnsi"/>
                <w:sz w:val="24"/>
                <w:szCs w:val="24"/>
              </w:rPr>
              <w:t>wyjaśnieni</w:t>
            </w:r>
            <w:r w:rsidR="006D55FF">
              <w:rPr>
                <w:rFonts w:asciiTheme="minorHAnsi" w:eastAsia="Calibri" w:hAnsiTheme="minorHAnsi"/>
                <w:sz w:val="24"/>
                <w:szCs w:val="24"/>
              </w:rPr>
              <w:t xml:space="preserve">u </w:t>
            </w:r>
            <w:r w:rsidR="00B2680F" w:rsidRPr="00E1753C">
              <w:rPr>
                <w:rFonts w:asciiTheme="minorHAnsi" w:eastAsia="Calibri" w:hAnsiTheme="minorHAnsi"/>
                <w:sz w:val="24"/>
                <w:szCs w:val="24"/>
              </w:rPr>
              <w:t>różnicy między perswazj</w:t>
            </w:r>
            <w:r w:rsidR="00FA439A">
              <w:rPr>
                <w:rFonts w:asciiTheme="minorHAnsi" w:eastAsia="Calibri" w:hAnsiTheme="minorHAnsi"/>
                <w:sz w:val="24"/>
                <w:szCs w:val="24"/>
              </w:rPr>
              <w:t>ą</w:t>
            </w:r>
            <w:r w:rsidR="00004906">
              <w:rPr>
                <w:rFonts w:asciiTheme="minorHAnsi" w:eastAsia="Calibri" w:hAnsiTheme="minorHAnsi"/>
                <w:sz w:val="24"/>
                <w:szCs w:val="24"/>
              </w:rPr>
              <w:t xml:space="preserve"> a manipulacją </w:t>
            </w:r>
            <w:r w:rsidR="004A5B54" w:rsidRPr="00E1753C">
              <w:rPr>
                <w:rFonts w:asciiTheme="minorHAnsi" w:eastAsia="Calibri" w:hAnsiTheme="minorHAnsi"/>
                <w:sz w:val="24"/>
                <w:szCs w:val="24"/>
              </w:rPr>
              <w:t>–</w:t>
            </w:r>
            <w:r w:rsidR="004A5B54">
              <w:rPr>
                <w:rFonts w:asciiTheme="minorHAnsi" w:eastAsia="Calibri" w:hAnsiTheme="minorHAnsi"/>
                <w:sz w:val="24"/>
                <w:szCs w:val="24"/>
              </w:rPr>
              <w:t xml:space="preserve"> </w:t>
            </w:r>
            <w:r w:rsidR="006D55FF">
              <w:rPr>
                <w:rFonts w:asciiTheme="minorHAnsi" w:eastAsia="Calibri" w:hAnsiTheme="minorHAnsi"/>
                <w:sz w:val="24"/>
                <w:szCs w:val="24"/>
              </w:rPr>
              <w:t xml:space="preserve"> w aspekcie</w:t>
            </w:r>
            <w:r w:rsidR="00B2680F"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</w:t>
            </w:r>
            <w:r w:rsidR="006D55FF">
              <w:rPr>
                <w:rFonts w:asciiTheme="minorHAnsi" w:eastAsia="Calibri" w:hAnsiTheme="minorHAnsi"/>
                <w:sz w:val="24"/>
                <w:szCs w:val="24"/>
              </w:rPr>
              <w:t>praktycznym.</w:t>
            </w:r>
          </w:p>
          <w:p w:rsidR="006D55FF" w:rsidRDefault="00FA439A" w:rsidP="004A5B54">
            <w:pPr>
              <w:spacing w:line="276" w:lineRule="auto"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  <w:r>
              <w:rPr>
                <w:rFonts w:asciiTheme="minorHAnsi" w:eastAsia="Calibri" w:hAnsiTheme="minorHAnsi"/>
                <w:sz w:val="24"/>
                <w:szCs w:val="24"/>
              </w:rPr>
              <w:t xml:space="preserve">Problematyka kursu </w:t>
            </w:r>
            <w:r w:rsidR="00B2680F"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obejmuje </w:t>
            </w:r>
            <w:r w:rsidR="001D2CA8">
              <w:rPr>
                <w:rFonts w:asciiTheme="minorHAnsi" w:eastAsia="Calibri" w:hAnsiTheme="minorHAnsi"/>
                <w:sz w:val="24"/>
                <w:szCs w:val="24"/>
              </w:rPr>
              <w:t xml:space="preserve">także praktyczną weryfikację </w:t>
            </w:r>
            <w:r w:rsidR="00B2680F"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metod i przykładów językowego oddziaływania społecznego – zjawisko nowomowy i jej obecność we współczesnym języku polityki i dyskursie medialnym. </w:t>
            </w:r>
          </w:p>
          <w:p w:rsidR="005C3115" w:rsidRPr="00E1753C" w:rsidRDefault="00B2680F" w:rsidP="004A5B54">
            <w:pPr>
              <w:spacing w:line="276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Przedmiotem </w:t>
            </w:r>
            <w:r w:rsidR="00EF6FA1">
              <w:rPr>
                <w:rFonts w:asciiTheme="minorHAnsi" w:eastAsia="Calibri" w:hAnsiTheme="minorHAnsi"/>
                <w:sz w:val="24"/>
                <w:szCs w:val="24"/>
              </w:rPr>
              <w:t xml:space="preserve">ćwiczeń będzie </w:t>
            </w:r>
            <w:r w:rsidR="004A5B54">
              <w:rPr>
                <w:rFonts w:asciiTheme="minorHAnsi" w:eastAsia="Calibri" w:hAnsiTheme="minorHAnsi"/>
                <w:sz w:val="24"/>
                <w:szCs w:val="24"/>
              </w:rPr>
              <w:t>ponadto</w:t>
            </w:r>
            <w:r w:rsidR="00EF6FA1">
              <w:rPr>
                <w:rFonts w:asciiTheme="minorHAnsi" w:eastAsia="Calibri" w:hAnsiTheme="minorHAnsi"/>
                <w:sz w:val="24"/>
                <w:szCs w:val="24"/>
              </w:rPr>
              <w:t xml:space="preserve"> praktyczne ujęcie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retoryczn</w:t>
            </w:r>
            <w:r w:rsidR="00EF6FA1">
              <w:rPr>
                <w:rFonts w:asciiTheme="minorHAnsi" w:eastAsia="Calibri" w:hAnsiTheme="minorHAnsi"/>
                <w:sz w:val="24"/>
                <w:szCs w:val="24"/>
              </w:rPr>
              <w:t>ego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wymiar</w:t>
            </w:r>
            <w:r w:rsidR="00EF6FA1">
              <w:rPr>
                <w:rFonts w:asciiTheme="minorHAnsi" w:eastAsia="Calibri" w:hAnsiTheme="minorHAnsi"/>
                <w:sz w:val="24"/>
                <w:szCs w:val="24"/>
              </w:rPr>
              <w:t>u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funkcjonowania mediów audiowizualnych, związki mediów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społecznościowych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 z perswazyjny</w:t>
            </w:r>
            <w:r w:rsidR="001D2CA8">
              <w:rPr>
                <w:rFonts w:asciiTheme="minorHAnsi" w:eastAsia="Calibri" w:hAnsiTheme="minorHAnsi"/>
                <w:sz w:val="24"/>
                <w:szCs w:val="24"/>
              </w:rPr>
              <w:t xml:space="preserve">m </w:t>
            </w:r>
            <w:r w:rsidRPr="00E1753C">
              <w:rPr>
                <w:rFonts w:asciiTheme="minorHAnsi" w:eastAsia="Calibri" w:hAnsiTheme="minorHAnsi"/>
                <w:sz w:val="24"/>
                <w:szCs w:val="24"/>
              </w:rPr>
              <w:t>aspektem komunikacji.</w:t>
            </w:r>
          </w:p>
        </w:tc>
      </w:tr>
      <w:tr w:rsidR="005C3115" w:rsidRPr="00E1753C" w:rsidTr="005C3115">
        <w:tc>
          <w:tcPr>
            <w:tcW w:w="10008" w:type="dxa"/>
            <w:shd w:val="pct15" w:color="auto" w:fill="FFFFFF"/>
          </w:tcPr>
          <w:p w:rsidR="005C3115" w:rsidRPr="00E1753C" w:rsidRDefault="005C311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1753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C3115" w:rsidRPr="00E1753C" w:rsidTr="005C3115">
        <w:tc>
          <w:tcPr>
            <w:tcW w:w="10008" w:type="dxa"/>
          </w:tcPr>
          <w:p w:rsidR="005C3115" w:rsidRPr="00E1753C" w:rsidRDefault="005C311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5C3115">
        <w:tc>
          <w:tcPr>
            <w:tcW w:w="10008" w:type="dxa"/>
            <w:shd w:val="pct15" w:color="auto" w:fill="FFFFFF"/>
          </w:tcPr>
          <w:p w:rsidR="005C3115" w:rsidRPr="00E1753C" w:rsidRDefault="005C311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1753C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5C3115" w:rsidRPr="00E1753C" w:rsidTr="005C3115">
        <w:tc>
          <w:tcPr>
            <w:tcW w:w="10008" w:type="dxa"/>
          </w:tcPr>
          <w:p w:rsidR="005C3115" w:rsidRPr="00E1753C" w:rsidRDefault="005C311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3115" w:rsidRPr="00E1753C" w:rsidTr="005C3115">
        <w:tc>
          <w:tcPr>
            <w:tcW w:w="10008" w:type="dxa"/>
            <w:shd w:val="clear" w:color="auto" w:fill="D9D9D9"/>
          </w:tcPr>
          <w:p w:rsidR="005C3115" w:rsidRPr="00E1753C" w:rsidRDefault="005C311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C3115" w:rsidRPr="00E1753C" w:rsidTr="005C3115">
        <w:tc>
          <w:tcPr>
            <w:tcW w:w="10008" w:type="dxa"/>
          </w:tcPr>
          <w:p w:rsidR="005C3115" w:rsidRPr="00E1753C" w:rsidRDefault="005C311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C3115" w:rsidRPr="00E1753C" w:rsidTr="005C3115">
        <w:tc>
          <w:tcPr>
            <w:tcW w:w="10008" w:type="dxa"/>
            <w:shd w:val="clear" w:color="auto" w:fill="D9D9D9"/>
          </w:tcPr>
          <w:p w:rsidR="005C3115" w:rsidRPr="00E1753C" w:rsidRDefault="005C311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C3115" w:rsidRPr="00E1753C" w:rsidTr="005C3115">
        <w:tc>
          <w:tcPr>
            <w:tcW w:w="10008" w:type="dxa"/>
          </w:tcPr>
          <w:p w:rsidR="005C3115" w:rsidRPr="00E1753C" w:rsidRDefault="005C311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C3115" w:rsidRPr="00E1753C" w:rsidTr="00AC79E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C3115" w:rsidRPr="00E1753C" w:rsidRDefault="005C311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E. Aronson, T.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Pratkanis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Wiek propagandy, warszawa 2003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Arystoteles, Retoryka w: tegoż, Retoryka. Poetyka, przeł. H. Podbielski, Warszawa 1988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T. G. Ash, Wolne słowo. Dziesięć zasad dla połączonego świata, tłum.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M.Godyń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,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F.Godyń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Kraków 2018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 Głowiński, Nowomowa po polsku, Warszawa 1990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 Głowiński, Zła mowa. Jak nie dać się propagandzie, Warszawa 2016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A. Schopenhauer, Erystyka czyli sztuka prowadzenia sporów, przeł. B. i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Ł.Konorscy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Warszawa 1983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J. Ziomek, Retoryka opisowa, Wrocław 1990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Uwaga: Prowadzący zastrzega sobie możliwość wprowadzenia innych lektur jako kontekstu do interpretacji wybranego zagadnienia lub tekstu po ustaleniu szczegółowego programu ze studentami.</w:t>
            </w:r>
          </w:p>
          <w:p w:rsidR="005C3115" w:rsidRPr="00E1753C" w:rsidRDefault="005C3115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</w:tr>
      <w:tr w:rsidR="005C3115" w:rsidRPr="00E1753C" w:rsidTr="00AC79E4">
        <w:tc>
          <w:tcPr>
            <w:tcW w:w="2660" w:type="dxa"/>
          </w:tcPr>
          <w:p w:rsidR="005C3115" w:rsidRPr="00E1753C" w:rsidRDefault="005C311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 Kochan, Pojedynek na słowa. Techniki erystyczne w publicznych sporach, Kraków 2012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Ch.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Perelman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Imperium retoryki. Retoryka i argumentacja, przeł. M. Chomicz, Warszawa 2002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Retoryka i jej dziennikarsko-medialne zastosowania, pod red.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M.Worsowicz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, Łódź 2016 Retoryka w praktyce medialnej, red.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A.Kwiatkowska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, M.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Sztyber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Warszawa 2017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M. Rusinek, A. </w:t>
            </w:r>
            <w:proofErr w:type="spellStart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Załazińska</w:t>
            </w:r>
            <w:proofErr w:type="spellEnd"/>
            <w:r w:rsidRPr="00E1753C">
              <w:rPr>
                <w:rFonts w:asciiTheme="minorHAnsi" w:eastAsia="Calibri" w:hAnsiTheme="minorHAnsi"/>
                <w:sz w:val="24"/>
                <w:szCs w:val="24"/>
              </w:rPr>
              <w:t>, Retoryka codzienna. Poradnik nie tylko językowy, Warszawa 2010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K. Szymanek, Sztuka argumentacji. Słownik terminologiczny, Warszawa 2004</w:t>
            </w:r>
          </w:p>
          <w:p w:rsidR="005C3115" w:rsidRPr="00E1753C" w:rsidRDefault="005C3115" w:rsidP="00A4311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</w:tr>
      <w:tr w:rsidR="00E1753C" w:rsidRPr="00E1753C" w:rsidTr="00AA4E25">
        <w:tc>
          <w:tcPr>
            <w:tcW w:w="2660" w:type="dxa"/>
          </w:tcPr>
          <w:p w:rsidR="00E1753C" w:rsidRPr="00E1753C" w:rsidRDefault="00E1753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1753C" w:rsidRPr="00E1753C" w:rsidRDefault="00E1753C" w:rsidP="00E1753C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analiza tekstów z dyskusją/ analiza zdarzeń krytycznych (przypadków) / prezentacja multimedialna</w:t>
            </w: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E1753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1753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E1753C" w:rsidRPr="00E1753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753C" w:rsidRPr="00E1753C" w:rsidRDefault="00E1753C" w:rsidP="00CD6D50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Pisemna forma zaliczenia po zakończeniu cyklu </w:t>
            </w:r>
            <w:r w:rsidR="00CD6D50">
              <w:rPr>
                <w:rFonts w:asciiTheme="minorHAnsi" w:eastAsia="Calibri" w:hAnsiTheme="minorHAnsi"/>
                <w:sz w:val="24"/>
                <w:szCs w:val="24"/>
              </w:rPr>
              <w:t>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753C" w:rsidRPr="00E1753C" w:rsidRDefault="00BC1ACB" w:rsidP="00A43110">
            <w:pPr>
              <w:spacing w:line="276" w:lineRule="auto"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>
              <w:rPr>
                <w:rFonts w:asciiTheme="minorHAnsi" w:eastAsia="Calibri" w:hAnsiTheme="minorHAnsi"/>
                <w:sz w:val="24"/>
                <w:szCs w:val="24"/>
              </w:rPr>
              <w:t>01 - 05</w:t>
            </w:r>
          </w:p>
        </w:tc>
      </w:tr>
      <w:tr w:rsidR="002E1B9A" w:rsidRPr="00E1753C" w:rsidTr="00AA4E25">
        <w:tc>
          <w:tcPr>
            <w:tcW w:w="8208" w:type="dxa"/>
            <w:gridSpan w:val="2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c>
          <w:tcPr>
            <w:tcW w:w="8208" w:type="dxa"/>
            <w:gridSpan w:val="2"/>
            <w:vAlign w:val="center"/>
          </w:tcPr>
          <w:p w:rsidR="002E1B9A" w:rsidRPr="00E1753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1753C" w:rsidRPr="00E1753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1753C" w:rsidRPr="00E1753C" w:rsidRDefault="00E1753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1753C" w:rsidRPr="00E1753C" w:rsidRDefault="00E1753C" w:rsidP="007D4252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>Frekwencja – 50%</w:t>
            </w:r>
          </w:p>
          <w:p w:rsidR="00E1753C" w:rsidRPr="00E1753C" w:rsidRDefault="00E1753C" w:rsidP="007D4252">
            <w:pPr>
              <w:spacing w:line="276" w:lineRule="auto"/>
              <w:rPr>
                <w:rFonts w:asciiTheme="minorHAnsi" w:eastAsia="Calibri" w:hAnsiTheme="minorHAnsi"/>
                <w:sz w:val="24"/>
                <w:szCs w:val="24"/>
              </w:rPr>
            </w:pPr>
            <w:r w:rsidRPr="00E1753C">
              <w:rPr>
                <w:rFonts w:asciiTheme="minorHAnsi" w:eastAsia="Calibri" w:hAnsiTheme="minorHAnsi"/>
                <w:sz w:val="24"/>
                <w:szCs w:val="24"/>
              </w:rPr>
              <w:t xml:space="preserve">Pisemne kolokwium – 50% </w:t>
            </w:r>
          </w:p>
        </w:tc>
      </w:tr>
    </w:tbl>
    <w:p w:rsidR="002E1B9A" w:rsidRPr="00E1753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E1753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1753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Merge/>
          </w:tcPr>
          <w:p w:rsidR="002E1B9A" w:rsidRPr="00E1753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1753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E1753C">
              <w:rPr>
                <w:rFonts w:asciiTheme="minorHAnsi" w:hAnsiTheme="minorHAnsi"/>
                <w:sz w:val="24"/>
                <w:szCs w:val="24"/>
              </w:rPr>
              <w:t>i </w:t>
            </w:r>
            <w:r w:rsidRPr="00E1753C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E1753C" w:rsidRDefault="00BC1A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1753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E1753C" w:rsidRDefault="00BC1A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7D425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E1753C" w:rsidRDefault="007D4252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51</w:t>
            </w:r>
          </w:p>
        </w:tc>
        <w:tc>
          <w:tcPr>
            <w:tcW w:w="2812" w:type="dxa"/>
            <w:vAlign w:val="center"/>
          </w:tcPr>
          <w:p w:rsidR="002E1B9A" w:rsidRPr="00E1753C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1753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1753C" w:rsidRDefault="007D425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E1753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1753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1753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7D4252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1753C" w:rsidRDefault="007D425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E1753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1753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1753C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E1753C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E1753C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1753C" w:rsidRDefault="00DD62DC" w:rsidP="00BC1ACB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bookmarkStart w:id="0" w:name="_GoBack"/>
            <w:bookmarkEnd w:id="0"/>
            <w:r w:rsidR="007D4252">
              <w:rPr>
                <w:rFonts w:asciiTheme="minorHAnsi" w:hAnsiTheme="minorHAnsi"/>
                <w:sz w:val="24"/>
                <w:szCs w:val="24"/>
              </w:rPr>
              <w:br/>
            </w:r>
            <w:r w:rsidR="00BC1ACB">
              <w:rPr>
                <w:rFonts w:asciiTheme="minorHAnsi" w:hAnsiTheme="minorHAnsi"/>
                <w:b/>
                <w:sz w:val="24"/>
                <w:szCs w:val="24"/>
              </w:rPr>
              <w:t>0,6</w:t>
            </w:r>
            <w:r w:rsidR="007D4252" w:rsidRPr="007D425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E1753C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E1753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1753C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4F2" w:rsidRDefault="009A74F2" w:rsidP="00513459">
      <w:r>
        <w:separator/>
      </w:r>
    </w:p>
  </w:endnote>
  <w:endnote w:type="continuationSeparator" w:id="0">
    <w:p w:rsidR="009A74F2" w:rsidRDefault="009A74F2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8F09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9A74F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8F09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D62DC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F0D95" w:rsidRDefault="009A74F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4F2" w:rsidRDefault="009A74F2" w:rsidP="00513459">
      <w:r>
        <w:separator/>
      </w:r>
    </w:p>
  </w:footnote>
  <w:footnote w:type="continuationSeparator" w:id="0">
    <w:p w:rsidR="009A74F2" w:rsidRDefault="009A74F2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 w:rsidP="005E493F">
    <w:pPr>
      <w:pStyle w:val="Tytu"/>
      <w:jc w:val="right"/>
      <w:rPr>
        <w:b w:val="0"/>
        <w:i/>
        <w:sz w:val="20"/>
      </w:rPr>
    </w:pPr>
  </w:p>
  <w:p w:rsidR="005E493F" w:rsidRPr="007F763F" w:rsidRDefault="005E493F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E493F" w:rsidRDefault="009A74F2" w:rsidP="005E49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9A"/>
    <w:rsid w:val="000009F6"/>
    <w:rsid w:val="00004906"/>
    <w:rsid w:val="0003393A"/>
    <w:rsid w:val="00081198"/>
    <w:rsid w:val="00097E79"/>
    <w:rsid w:val="000C4775"/>
    <w:rsid w:val="001A3BC3"/>
    <w:rsid w:val="001D2CA8"/>
    <w:rsid w:val="001D78B7"/>
    <w:rsid w:val="002308D7"/>
    <w:rsid w:val="002E1B9A"/>
    <w:rsid w:val="00361064"/>
    <w:rsid w:val="00384EE5"/>
    <w:rsid w:val="00396B9E"/>
    <w:rsid w:val="003A7921"/>
    <w:rsid w:val="00401FF4"/>
    <w:rsid w:val="00443C92"/>
    <w:rsid w:val="00467DED"/>
    <w:rsid w:val="00482532"/>
    <w:rsid w:val="00487684"/>
    <w:rsid w:val="004A5B54"/>
    <w:rsid w:val="004B137F"/>
    <w:rsid w:val="00513459"/>
    <w:rsid w:val="00554A5A"/>
    <w:rsid w:val="00555B5F"/>
    <w:rsid w:val="005C3115"/>
    <w:rsid w:val="005C4E66"/>
    <w:rsid w:val="005E493F"/>
    <w:rsid w:val="006207BD"/>
    <w:rsid w:val="006614B9"/>
    <w:rsid w:val="006A658E"/>
    <w:rsid w:val="006D55FF"/>
    <w:rsid w:val="007D4252"/>
    <w:rsid w:val="007F0ECB"/>
    <w:rsid w:val="007F763F"/>
    <w:rsid w:val="0084223B"/>
    <w:rsid w:val="00887F87"/>
    <w:rsid w:val="008F098C"/>
    <w:rsid w:val="00923668"/>
    <w:rsid w:val="009A74F2"/>
    <w:rsid w:val="00A020AD"/>
    <w:rsid w:val="00A70084"/>
    <w:rsid w:val="00AA4E25"/>
    <w:rsid w:val="00AB1D18"/>
    <w:rsid w:val="00AB5AED"/>
    <w:rsid w:val="00AC5D84"/>
    <w:rsid w:val="00B2680F"/>
    <w:rsid w:val="00B87F3B"/>
    <w:rsid w:val="00BC1ACB"/>
    <w:rsid w:val="00BE0044"/>
    <w:rsid w:val="00C460D6"/>
    <w:rsid w:val="00C57294"/>
    <w:rsid w:val="00C71D87"/>
    <w:rsid w:val="00C9183B"/>
    <w:rsid w:val="00CC5A9C"/>
    <w:rsid w:val="00CD6D50"/>
    <w:rsid w:val="00D72111"/>
    <w:rsid w:val="00D950BF"/>
    <w:rsid w:val="00DD62DC"/>
    <w:rsid w:val="00E1254E"/>
    <w:rsid w:val="00E1753C"/>
    <w:rsid w:val="00E227ED"/>
    <w:rsid w:val="00EF6FA1"/>
    <w:rsid w:val="00F009F6"/>
    <w:rsid w:val="00F578E6"/>
    <w:rsid w:val="00F660B8"/>
    <w:rsid w:val="00F87204"/>
    <w:rsid w:val="00F9270B"/>
    <w:rsid w:val="00FA1FB3"/>
    <w:rsid w:val="00FA439A"/>
    <w:rsid w:val="00FA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22</cp:revision>
  <dcterms:created xsi:type="dcterms:W3CDTF">2019-09-19T10:45:00Z</dcterms:created>
  <dcterms:modified xsi:type="dcterms:W3CDTF">2019-09-19T15:29:00Z</dcterms:modified>
</cp:coreProperties>
</file>